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D9F" w:rsidRDefault="009B2D9F"/>
    <w:p w:rsidR="009B2D9F" w:rsidRDefault="009B2D9F">
      <w:r>
        <w:rPr>
          <w:noProof/>
          <w:lang w:eastAsia="sr-Latn-CS"/>
        </w:rPr>
        <w:drawing>
          <wp:inline distT="0" distB="0" distL="0" distR="0">
            <wp:extent cx="2537460" cy="662940"/>
            <wp:effectExtent l="19050" t="0" r="0" b="0"/>
            <wp:docPr id="1" name="Picture 1" descr="C:\Documents and Settings\hitna doktor\My Documents\Kvalitet\Logo za kvalit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hitna doktor\My Documents\Kvalitet\Logo za kvalitet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746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D9F" w:rsidRDefault="009B2D9F"/>
    <w:p w:rsidR="009B2D9F" w:rsidRDefault="009B2D9F"/>
    <w:p w:rsidR="009B2D9F" w:rsidRDefault="009B2D9F"/>
    <w:p w:rsidR="009B2D9F" w:rsidRDefault="009B2D9F"/>
    <w:p w:rsidR="009B2D9F" w:rsidRDefault="009B2D9F"/>
    <w:p w:rsidR="009B2D9F" w:rsidRPr="009B2D9F" w:rsidRDefault="009B2D9F">
      <w:pPr>
        <w:rPr>
          <w:b/>
          <w:sz w:val="36"/>
          <w:szCs w:val="36"/>
        </w:rPr>
      </w:pPr>
      <w:r w:rsidRPr="009B2D9F">
        <w:rPr>
          <w:b/>
          <w:sz w:val="36"/>
          <w:szCs w:val="36"/>
        </w:rPr>
        <w:t xml:space="preserve">KOMPARATIVNA ANALIZA ZADOVOLJSTVA ZAPOSLENIH U </w:t>
      </w:r>
    </w:p>
    <w:p w:rsidR="009B2D9F" w:rsidRPr="009B2D9F" w:rsidRDefault="009B2D9F">
      <w:pPr>
        <w:rPr>
          <w:b/>
          <w:sz w:val="36"/>
          <w:szCs w:val="36"/>
        </w:rPr>
      </w:pPr>
      <w:r w:rsidRPr="009B2D9F">
        <w:rPr>
          <w:b/>
          <w:sz w:val="36"/>
          <w:szCs w:val="36"/>
        </w:rPr>
        <w:t xml:space="preserve">              DOMU ZDRAVLJA „DR ĐORĐE  BASTIĆ“</w:t>
      </w:r>
    </w:p>
    <w:p w:rsidR="009B2D9F" w:rsidRPr="009B2D9F" w:rsidRDefault="009B2D9F">
      <w:pPr>
        <w:rPr>
          <w:b/>
          <w:sz w:val="36"/>
          <w:szCs w:val="36"/>
        </w:rPr>
      </w:pPr>
    </w:p>
    <w:p w:rsidR="009B2D9F" w:rsidRPr="009B2D9F" w:rsidRDefault="009B2D9F">
      <w:pPr>
        <w:rPr>
          <w:b/>
          <w:sz w:val="36"/>
          <w:szCs w:val="36"/>
        </w:rPr>
      </w:pPr>
      <w:r w:rsidRPr="009B2D9F">
        <w:rPr>
          <w:b/>
          <w:sz w:val="36"/>
          <w:szCs w:val="36"/>
        </w:rPr>
        <w:t xml:space="preserve">                             (2012.-2013.GODINA)</w:t>
      </w: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pPr>
        <w:rPr>
          <w:sz w:val="36"/>
          <w:szCs w:val="36"/>
        </w:rPr>
      </w:pPr>
    </w:p>
    <w:p w:rsidR="009B2D9F" w:rsidRDefault="009B2D9F">
      <w:r>
        <w:rPr>
          <w:sz w:val="36"/>
          <w:szCs w:val="36"/>
        </w:rPr>
        <w:t xml:space="preserve">                                     </w:t>
      </w:r>
      <w:r w:rsidR="00CE1DAD">
        <w:rPr>
          <w:sz w:val="28"/>
          <w:szCs w:val="28"/>
        </w:rPr>
        <w:t xml:space="preserve">April </w:t>
      </w:r>
      <w:r>
        <w:rPr>
          <w:sz w:val="28"/>
          <w:szCs w:val="28"/>
        </w:rPr>
        <w:t xml:space="preserve"> 2014.godine</w:t>
      </w:r>
      <w:r>
        <w:rPr>
          <w:sz w:val="36"/>
          <w:szCs w:val="36"/>
        </w:rPr>
        <w:t xml:space="preserve">  </w:t>
      </w:r>
      <w:r>
        <w:br w:type="page"/>
      </w:r>
    </w:p>
    <w:p w:rsidR="009B2D9F" w:rsidRDefault="009B2D9F"/>
    <w:p w:rsidR="004408FC" w:rsidRDefault="009B2D9F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p w:rsidR="004408FC" w:rsidRDefault="004408FC">
      <w:pPr>
        <w:rPr>
          <w:sz w:val="32"/>
          <w:szCs w:val="32"/>
        </w:rPr>
      </w:pPr>
    </w:p>
    <w:p w:rsidR="004408FC" w:rsidRDefault="004408FC">
      <w:pPr>
        <w:rPr>
          <w:sz w:val="32"/>
          <w:szCs w:val="32"/>
        </w:rPr>
      </w:pPr>
    </w:p>
    <w:p w:rsidR="009B2D9F" w:rsidRPr="009B2D9F" w:rsidRDefault="004408FC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9B2D9F">
        <w:rPr>
          <w:sz w:val="32"/>
          <w:szCs w:val="32"/>
        </w:rPr>
        <w:t xml:space="preserve"> </w:t>
      </w:r>
      <w:r w:rsidR="00D959FE">
        <w:rPr>
          <w:sz w:val="32"/>
          <w:szCs w:val="32"/>
        </w:rPr>
        <w:t xml:space="preserve">  </w:t>
      </w:r>
      <w:r w:rsidR="009B2D9F">
        <w:rPr>
          <w:sz w:val="32"/>
          <w:szCs w:val="32"/>
        </w:rPr>
        <w:t xml:space="preserve"> </w:t>
      </w:r>
      <w:r w:rsidR="009B2D9F" w:rsidRPr="009B2D9F">
        <w:rPr>
          <w:b/>
          <w:sz w:val="32"/>
          <w:szCs w:val="32"/>
        </w:rPr>
        <w:t xml:space="preserve">KOMPARATIVNA ANALIZA ZADOVOLJSTVA ZAPOSLENIH </w:t>
      </w:r>
    </w:p>
    <w:p w:rsidR="009B2D9F" w:rsidRDefault="009B2D9F">
      <w:pPr>
        <w:rPr>
          <w:b/>
          <w:sz w:val="32"/>
          <w:szCs w:val="32"/>
        </w:rPr>
      </w:pPr>
      <w:r w:rsidRPr="009B2D9F">
        <w:rPr>
          <w:b/>
          <w:sz w:val="32"/>
          <w:szCs w:val="32"/>
        </w:rPr>
        <w:t xml:space="preserve">                           </w:t>
      </w:r>
      <w:r w:rsidR="00D959FE">
        <w:rPr>
          <w:b/>
          <w:sz w:val="32"/>
          <w:szCs w:val="32"/>
        </w:rPr>
        <w:t xml:space="preserve">   </w:t>
      </w:r>
      <w:r w:rsidRPr="009B2D9F">
        <w:rPr>
          <w:b/>
          <w:sz w:val="32"/>
          <w:szCs w:val="32"/>
        </w:rPr>
        <w:t xml:space="preserve">ZA PERIOD  2012. </w:t>
      </w:r>
      <w:r>
        <w:rPr>
          <w:b/>
          <w:sz w:val="32"/>
          <w:szCs w:val="32"/>
        </w:rPr>
        <w:t xml:space="preserve"> </w:t>
      </w:r>
      <w:r w:rsidRPr="009B2D9F">
        <w:rPr>
          <w:b/>
          <w:sz w:val="32"/>
          <w:szCs w:val="32"/>
        </w:rPr>
        <w:t>I  2013. GODINE</w:t>
      </w:r>
    </w:p>
    <w:p w:rsidR="009B2D9F" w:rsidRDefault="009B2D9F">
      <w:pPr>
        <w:rPr>
          <w:sz w:val="28"/>
          <w:szCs w:val="28"/>
        </w:rPr>
      </w:pPr>
    </w:p>
    <w:p w:rsidR="00D0691E" w:rsidRDefault="009B2D9F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408FC" w:rsidRDefault="00D0691E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408FC" w:rsidRDefault="004408FC" w:rsidP="009B2D9F">
      <w:pPr>
        <w:jc w:val="both"/>
        <w:rPr>
          <w:sz w:val="28"/>
          <w:szCs w:val="28"/>
        </w:rPr>
      </w:pPr>
    </w:p>
    <w:p w:rsidR="009B2D9F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2D9F">
        <w:rPr>
          <w:sz w:val="28"/>
          <w:szCs w:val="28"/>
        </w:rPr>
        <w:t xml:space="preserve"> Svake godine se u decembru prema metodologiji Instituta za javno zdravlje Vojvodine sprovodi anketa o zadovoljstvu zaposlenih u zdravstvenim ustanovama.Komisija za praćenje kvaliteta rada izvršava analizu sprovedenog istraživanja</w:t>
      </w:r>
      <w:r w:rsidR="00D959FE">
        <w:rPr>
          <w:sz w:val="28"/>
          <w:szCs w:val="28"/>
        </w:rPr>
        <w:t xml:space="preserve"> i prezentuje rezultate u cilju unapređenja kvaliteta rada.</w:t>
      </w:r>
    </w:p>
    <w:p w:rsidR="00D0691E" w:rsidRDefault="00D959FE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408FC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959FE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959FE">
        <w:rPr>
          <w:sz w:val="28"/>
          <w:szCs w:val="28"/>
        </w:rPr>
        <w:t xml:space="preserve"> Sledi komparativna analiza rezultata navedenog istraživanja za 2012. i 2013.godinu u Domu Zdravlja „Dr Đorđe Bastić“ u Srbobranu.</w:t>
      </w:r>
    </w:p>
    <w:p w:rsidR="00D0691E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959FE" w:rsidRDefault="00D0691E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959FE">
        <w:rPr>
          <w:sz w:val="28"/>
          <w:szCs w:val="28"/>
        </w:rPr>
        <w:t>2012 godine je u anketi učestvovalo 75 zaposlenih a 2013.godine njih 69.</w:t>
      </w:r>
    </w:p>
    <w:p w:rsidR="004408FC" w:rsidRDefault="00D959FE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4408FC" w:rsidRDefault="004408FC" w:rsidP="009B2D9F">
      <w:pPr>
        <w:jc w:val="both"/>
        <w:rPr>
          <w:sz w:val="28"/>
          <w:szCs w:val="28"/>
        </w:rPr>
      </w:pPr>
    </w:p>
    <w:p w:rsidR="004408FC" w:rsidRDefault="004408FC" w:rsidP="009B2D9F">
      <w:pPr>
        <w:jc w:val="both"/>
        <w:rPr>
          <w:sz w:val="28"/>
          <w:szCs w:val="28"/>
        </w:rPr>
      </w:pPr>
    </w:p>
    <w:p w:rsidR="004408FC" w:rsidRDefault="004408FC" w:rsidP="009B2D9F">
      <w:pPr>
        <w:jc w:val="both"/>
        <w:rPr>
          <w:sz w:val="28"/>
          <w:szCs w:val="28"/>
        </w:rPr>
      </w:pPr>
    </w:p>
    <w:p w:rsidR="00D959FE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D959FE">
        <w:rPr>
          <w:sz w:val="28"/>
          <w:szCs w:val="28"/>
        </w:rPr>
        <w:t>Po stručnoj spremi 2012 godine je učestvovalo u anketi 73% zdravstvenih radnika,1.3% zdravstvenih saradnika,9,3% administrativnih radnika i 16% tehničkog osoblja.2013 godine je bilo 75.36 % zdravsvenih radnika,2.8% zdravstvenih saradnika,10.94% administrativnih radnika i 10.</w:t>
      </w:r>
      <w:r>
        <w:rPr>
          <w:sz w:val="28"/>
          <w:szCs w:val="28"/>
        </w:rPr>
        <w:t>94% tehničkog osoblja.(graf.1.1)</w:t>
      </w:r>
      <w:r w:rsidR="00D959FE">
        <w:rPr>
          <w:noProof/>
          <w:sz w:val="28"/>
          <w:szCs w:val="28"/>
          <w:lang w:eastAsia="sr-Latn-CS"/>
        </w:rPr>
        <w:drawing>
          <wp:inline distT="0" distB="0" distL="0" distR="0">
            <wp:extent cx="5478780" cy="2834640"/>
            <wp:effectExtent l="19050" t="0" r="26670" b="381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408FC" w:rsidRDefault="00C97091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U momentu ispitivanja 2012.godine 22.6% anketiranih obavlja neku rukovodeću funkciju a 2013.godine njih 20.29%</w:t>
      </w:r>
    </w:p>
    <w:p w:rsidR="00D0691E" w:rsidRDefault="004408FC" w:rsidP="009B2D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97091">
        <w:rPr>
          <w:sz w:val="28"/>
          <w:szCs w:val="28"/>
        </w:rPr>
        <w:t xml:space="preserve">  Sa adekvatnošću opreme za rad u službi 2012.godine veoma zadovoljni i zadovoljni su bili njih 71.9%,ni zadovoljni ni nezadovoljni njih 22.6,a nezadovoljno i veoma nezadovoljno je bilo 5.3% anketiranih.2013.godine veoma zadovo</w:t>
      </w:r>
      <w:r w:rsidR="00D0691E">
        <w:rPr>
          <w:sz w:val="28"/>
          <w:szCs w:val="28"/>
        </w:rPr>
        <w:t>ljno i zadovoljno je njih 65.22%</w:t>
      </w:r>
      <w:r w:rsidR="00C97091">
        <w:rPr>
          <w:sz w:val="28"/>
          <w:szCs w:val="28"/>
        </w:rPr>
        <w:t>,ni zadovoljno ni nezadovoljno njih 18.84%,a nezadovoljno 8.65% anketiranih.(graf.1.2)</w:t>
      </w:r>
    </w:p>
    <w:p w:rsidR="00D0691E" w:rsidRDefault="00C97091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4970" cy="2617470"/>
            <wp:effectExtent l="19050" t="0" r="1143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D0691E">
        <w:rPr>
          <w:sz w:val="28"/>
          <w:szCs w:val="28"/>
        </w:rPr>
        <w:t xml:space="preserve">   </w:t>
      </w:r>
    </w:p>
    <w:p w:rsidR="00D0691E" w:rsidRDefault="004408FC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D0691E">
        <w:rPr>
          <w:sz w:val="28"/>
          <w:szCs w:val="28"/>
        </w:rPr>
        <w:t xml:space="preserve">  Što se međuljudskih odnosa tiče 2012. godine 55.9% njih je bilo veoma zadovoljno i zadovoljno,33.3% ni zadovoljno ni nezadovoljno,a 10.6% je nezadovoljno i veoma nezadovoljno.2013. godine je 50.73% njih bilo zadovoljno i veoma zadovoljno, 24.64% ni zadovoljno ni nezadovoljno i 23.19% nezadovoljno ili veoma nezadovoljno.(graf.1.3)</w:t>
      </w:r>
    </w:p>
    <w:p w:rsidR="004408FC" w:rsidRDefault="004408FC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2590" cy="3063240"/>
            <wp:effectExtent l="19050" t="0" r="22860" b="381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47E3" w:rsidRDefault="007948EB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447E3">
        <w:rPr>
          <w:sz w:val="28"/>
          <w:szCs w:val="28"/>
        </w:rPr>
        <w:t>Što se neposredne saradnje sa kolegama tiče 2012.godine je zadovoljno bilo njih 72%,</w:t>
      </w:r>
      <w:r>
        <w:rPr>
          <w:sz w:val="28"/>
          <w:szCs w:val="28"/>
        </w:rPr>
        <w:t xml:space="preserve"> </w:t>
      </w:r>
      <w:r w:rsidR="00C447E3">
        <w:rPr>
          <w:sz w:val="28"/>
          <w:szCs w:val="28"/>
        </w:rPr>
        <w:t>ni zadovoljno ni nezadovoljno 26.6%,a nezadovoljno 1.33%.</w:t>
      </w:r>
      <w:r>
        <w:rPr>
          <w:sz w:val="28"/>
          <w:szCs w:val="28"/>
        </w:rPr>
        <w:t xml:space="preserve"> </w:t>
      </w:r>
      <w:r w:rsidR="00C447E3">
        <w:rPr>
          <w:sz w:val="28"/>
          <w:szCs w:val="28"/>
        </w:rPr>
        <w:t xml:space="preserve">2013.godine </w:t>
      </w:r>
      <w:r>
        <w:rPr>
          <w:sz w:val="28"/>
          <w:szCs w:val="28"/>
        </w:rPr>
        <w:t>75.36% zaposlenih je zadovoljno, 20.29% ni zadovoljno ni nezadovoljno i 2.9% nezadovoljno.(graf.1.4)</w:t>
      </w:r>
    </w:p>
    <w:p w:rsidR="007948EB" w:rsidRDefault="007948EB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8780" cy="3108960"/>
            <wp:effectExtent l="19050" t="0" r="2667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147FC" w:rsidRDefault="00900900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7147FC">
        <w:rPr>
          <w:sz w:val="28"/>
          <w:szCs w:val="28"/>
        </w:rPr>
        <w:t>Sa autonomijom u radu 2012.godine je bilo zadovoljno 71.9%, ni zadovoljno ni nezadovoljno 24%,a nezadovoljno je bilo 4% zaposlenih.2013. godine je bilo 82.54% zadovoljnih,14.49% ni zadovoljnih ni nezadovoljnih i 2.9% nezadovoljnih anketiranih zaposlenih.(graf.1.5)</w:t>
      </w:r>
    </w:p>
    <w:p w:rsidR="00900900" w:rsidRDefault="007147FC" w:rsidP="00D0691E">
      <w:pPr>
        <w:jc w:val="both"/>
      </w:pPr>
      <w:r>
        <w:rPr>
          <w:noProof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900900" w:rsidRDefault="00900900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Mogućnostima profesionalnog razvoja 2012 godine zadovoljno je bilo 46.6%,ni zadovoljno ni nezadovoljno 22.6%,a nezadovoljno 10.6% zaposlenih.</w:t>
      </w:r>
      <w:r w:rsidRPr="00900900">
        <w:rPr>
          <w:sz w:val="28"/>
          <w:szCs w:val="28"/>
        </w:rPr>
        <w:t>2013. godine</w:t>
      </w:r>
      <w:r>
        <w:t xml:space="preserve"> </w:t>
      </w:r>
      <w:r w:rsidRPr="00900900">
        <w:rPr>
          <w:sz w:val="28"/>
          <w:szCs w:val="28"/>
        </w:rPr>
        <w:t>60.87</w:t>
      </w:r>
      <w:r>
        <w:rPr>
          <w:sz w:val="28"/>
          <w:szCs w:val="28"/>
        </w:rPr>
        <w:t>% zaposlenih je bilo zadovoljno,21.74% ni zadovoljno ni nezadovoljno i 17.39% anketiranih je bilo nezadovoljno sa tim.(graf.1.6)</w:t>
      </w:r>
    </w:p>
    <w:p w:rsidR="00900900" w:rsidRDefault="00900900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2590" cy="3280410"/>
            <wp:effectExtent l="19050" t="0" r="2286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B2D9F" w:rsidRDefault="00900900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E1DAD">
        <w:rPr>
          <w:sz w:val="28"/>
          <w:szCs w:val="28"/>
        </w:rPr>
        <w:t>Raspoloživim vremenom za obavljanje zadatih poslova zadovoljno je bilo 2012.godine 70.6% zaposlenih,ni zadovoljno ni nezadovoljno 25.3,a nezadovoljno 4% njih.2013.godine je bilo zadovoljnih 68.11%,ni zadovoljnih ni nezadovoljnih 15.94%,a nezadovoljnih 14.5%.(graf.1.7)</w:t>
      </w:r>
    </w:p>
    <w:p w:rsidR="00CE1DAD" w:rsidRDefault="00CE1DAD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E1DAD" w:rsidRDefault="00CE1DAD" w:rsidP="00D0691E">
      <w:pPr>
        <w:jc w:val="both"/>
        <w:rPr>
          <w:sz w:val="28"/>
          <w:szCs w:val="28"/>
        </w:rPr>
      </w:pPr>
      <w:r>
        <w:rPr>
          <w:sz w:val="28"/>
          <w:szCs w:val="28"/>
        </w:rPr>
        <w:t>Mogućnostima za kontinuiranu edukaciju zadovoljno je bilo 66.6% zaposlenih,ni zadovoljno ni nezadovoljno 24%,a nezadovoljno njih 9.3% 2012.godine.2013.godine zadovoljno je bilo</w:t>
      </w:r>
      <w:r w:rsidR="00CA1AA1">
        <w:rPr>
          <w:sz w:val="28"/>
          <w:szCs w:val="28"/>
        </w:rPr>
        <w:t xml:space="preserve"> 60.9%,ni zadovoljno ni nezadovoljno 17.39%,a nezadovoljno 20.3% zaposlenih.(graf.1.8)</w:t>
      </w:r>
    </w:p>
    <w:p w:rsidR="00CA1AA1" w:rsidRPr="00900900" w:rsidRDefault="00CA1AA1" w:rsidP="00D0691E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B2D9F" w:rsidRDefault="0067319F" w:rsidP="0067319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postojanjem redovne evaluacije rada od strane rukovodećeg kadra zadovoljno je bilo 76% zaposlenih 2012.godine,ni zadovoljno ni nezadovoljno 25.3% a nezadovoljno 2.6%. 2013.godine zadovoljno je bilo 60.87% zaposlenih,ni zadovoljno ni nezadovoljno 24.64%,a nezadovoljno 13.04% zaposlenih.(graf.1.9)</w:t>
      </w:r>
    </w:p>
    <w:p w:rsidR="00B118A6" w:rsidRDefault="00B118A6" w:rsidP="0067319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2590" cy="3097530"/>
            <wp:effectExtent l="19050" t="0" r="22860" b="762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B118A6" w:rsidRDefault="00B118A6" w:rsidP="0067319F">
      <w:pPr>
        <w:jc w:val="both"/>
        <w:rPr>
          <w:sz w:val="28"/>
          <w:szCs w:val="28"/>
        </w:rPr>
      </w:pPr>
      <w:r>
        <w:rPr>
          <w:sz w:val="28"/>
          <w:szCs w:val="28"/>
        </w:rPr>
        <w:t>Sa mogućnošću korišćenja svih svojih znanja i veština 2012.godine je bilo zadovoljno 75.8% zaposlenih,ni zadovoljno ni nezadovoljno njih 21.4%,a 3.5% zaposlenih je bilo nezadovoljno.2013.godine je bilo zadovoljno 73.91%,ni zadovoljno ni nezadovoljno 18.84%,a nezadovoljno 7.25%.(graf.1.10)</w:t>
      </w:r>
    </w:p>
    <w:p w:rsidR="00B118A6" w:rsidRPr="0067319F" w:rsidRDefault="00B118A6" w:rsidP="0067319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8780" cy="2994660"/>
            <wp:effectExtent l="19050" t="0" r="2667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3F1616" w:rsidRDefault="00577FA6" w:rsidP="00577FA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Sa materijalnom nadoknadom za svoj rad 2012.godine je bilo zadovoljno 37.3% zaposlenih,ni zadovoljno ni nezadovoljno 32%,a nezadovoljno 30.6% zaposlenih.</w:t>
      </w:r>
      <w:r w:rsidR="003F1616">
        <w:rPr>
          <w:sz w:val="28"/>
          <w:szCs w:val="28"/>
        </w:rPr>
        <w:t xml:space="preserve"> 2013.godine zadovoljnih je bilo 37.68%,ni zadovoljnih ni nezadovoljnih 28.98%,a nezadovoljnih 31.88%.(graf.1.11)</w:t>
      </w:r>
    </w:p>
    <w:p w:rsidR="003F1616" w:rsidRDefault="003F1616" w:rsidP="00577FA6">
      <w:pPr>
        <w:jc w:val="both"/>
      </w:pPr>
      <w:r>
        <w:rPr>
          <w:noProof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3F1616" w:rsidRDefault="003F1616" w:rsidP="00577FA6">
      <w:pPr>
        <w:jc w:val="both"/>
        <w:rPr>
          <w:sz w:val="28"/>
          <w:szCs w:val="28"/>
        </w:rPr>
      </w:pPr>
      <w:r>
        <w:rPr>
          <w:sz w:val="28"/>
          <w:szCs w:val="28"/>
        </w:rPr>
        <w:t>Sa podrškom pretpostavljenih 2012.godine je 76% zaposlenih bilo zadovoljno,18.6% ni zadovoljno ni nezadovoljno i 5.3% nezadovoljno.2013.godine je 66.66% zaposlenih bilo zadovoljno,18.84% ni zadovoljno ni nezadovoljno i 11.6% nezadovoljno.(graf.1.12)</w:t>
      </w:r>
    </w:p>
    <w:p w:rsidR="009B2D9F" w:rsidRDefault="003F1616" w:rsidP="00577FA6">
      <w:pPr>
        <w:jc w:val="both"/>
      </w:pPr>
      <w:r>
        <w:rPr>
          <w:noProof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9B2D9F">
        <w:br w:type="page"/>
      </w:r>
    </w:p>
    <w:p w:rsidR="00490A55" w:rsidRDefault="003F1616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Sa mogućnošću iznošenja ideja prepostavljenima 2012. godine je bilo zadovoljno </w:t>
      </w:r>
      <w:r w:rsidR="001B5F3D">
        <w:rPr>
          <w:sz w:val="28"/>
          <w:szCs w:val="28"/>
        </w:rPr>
        <w:t>73.3% zaposlenih,20% je bilo niti zadovoljni niti nezadovoljno i 6.6% je bilo nezadovoljno. 2013. godine je 66.66% zaposlenih bilo zadovoljno,24.63% ni zadovoljno ni nezadovoljno i 8.7% je bilo nezadovoljno.(graf.1.13)</w:t>
      </w:r>
    </w:p>
    <w:p w:rsidR="001B5F3D" w:rsidRDefault="001B5F3D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8780" cy="3028950"/>
            <wp:effectExtent l="19050" t="0" r="2667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213937" w:rsidRDefault="00213937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t>Sa dobijanjem jasnih uputstva šta se od njih očekuje u okviru posla 1012. godine je bilo zadovoljno 75.9% zaposlenih,ni zadovoljno ni nezadovoljno 18.6%,a nezadovoljno 5.3%. 2013.godine je bilo zadovoljno 68.12% zaposlenih,ni zadovoljno ni nezadovoljno 23.19% a nezadovoljno 8.7%(graf.1.14)</w:t>
      </w:r>
    </w:p>
    <w:p w:rsidR="00213937" w:rsidRDefault="00213937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4970" cy="3074670"/>
            <wp:effectExtent l="19050" t="0" r="1143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65B7D" w:rsidRDefault="00065B7D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Anketirani su odgovarali na izjave u vezi iscrpljenosti koja je povezana sa njihovim poslom u ustanovi:</w:t>
      </w:r>
    </w:p>
    <w:p w:rsidR="00065B7D" w:rsidRDefault="00065B7D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t>Da se osećaju emocionalno iscrpljeno nakon posla2012.godine je 13.3% reklo “ne,nikad“ ,22.6% “ne,retko“ ,30.6% “da,ponekad“ ,22.6% “da,često“ i 13.3%zaposlenih je odgovorilo sa „da,uvek“.2013.godine je  10.14% odgovorilo sa „ne,nikada“ ,8.7% sa „ne,retko“, 31.88% sa „da,ponekad“,30.3% sa „da,često“ i 10.15% sa „da,uvek“.(graf.1.15)</w:t>
      </w:r>
    </w:p>
    <w:p w:rsidR="00065B7D" w:rsidRDefault="00065B7D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74970" cy="2628900"/>
            <wp:effectExtent l="19050" t="0" r="1143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B3A2A" w:rsidRDefault="00DE0CE8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pitanje </w:t>
      </w:r>
      <w:r w:rsidR="009B3A2A">
        <w:rPr>
          <w:sz w:val="28"/>
          <w:szCs w:val="28"/>
        </w:rPr>
        <w:t>da li se osećaju fizički iscrpljeni 2012. godine je 9.3% reklo “ne,nikada“, 14.6% “ne,retko“, 42.6% “da,ponekad“, 24%“da često“ i 9.3% na pitanje je odgovorilo sa „da,uvek“.2013. godine je 4.35% reklo“ne,nikada“,20.29% „ne,retko“, 26,09% „da,ponekad“, 23.19% „da,često“ i 14.29% „da,uvek“.(graf.1.16)</w:t>
      </w:r>
    </w:p>
    <w:p w:rsidR="009B3A2A" w:rsidRDefault="009B3A2A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2590" cy="2720340"/>
            <wp:effectExtent l="19050" t="0" r="22860" b="381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8477F2" w:rsidRDefault="008477F2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Na pitanje da li osećaju umor na samu pomisao da treba da idu na posao 2012. godine je 33.3% zaposlenih odgovorilo sa „ne,nikada“, 30.6% sa „ne retko“,22.6% sa „ da,ponekad“ 9.3% sa „da,često“ i 4% sa „da,uvek“. 2013.godine je 27.54% zaposlenih odgovorilo sa „ne,nikada“, 21.74% sa „ne,retko“, 18.84% sa „da,ponekad“, 11.59% sa „da,često“ i 7.25% zaposlenih je odgovorilo sa „da,uvek“.(graf.1.17)</w:t>
      </w:r>
    </w:p>
    <w:p w:rsidR="008477F2" w:rsidRDefault="008477F2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2590" cy="2628900"/>
            <wp:effectExtent l="19050" t="0" r="2286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B19CA" w:rsidRDefault="003B19CA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t>Pri poređenju zadovoljstva svojim poslom od pre 5 godina i danas 37.3% zaposlenih je 2012.godine bilo zadovoljnije nego ranije,41.3% smatralo je tada da nema razlike i 37.3% je nezadovoljno. 2013.godine je 39.13% zaposlenih odgovorilo da je zadovoljnije nego ranije,26.09% da nema razlike i 33.33% je nezadovoljnije.(graf.1.18)</w:t>
      </w:r>
    </w:p>
    <w:p w:rsidR="003B19CA" w:rsidRDefault="003B19CA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9962" cy="2822713"/>
            <wp:effectExtent l="19050" t="0" r="15488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3B19CA" w:rsidRDefault="003B19CA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Kada je u pitanju plan za narednih 5 godina 2012.godine je 52% anketiranih odgovorilo da bi ostali u državnom sektoru</w:t>
      </w:r>
      <w:r w:rsidR="00FB673D">
        <w:rPr>
          <w:sz w:val="28"/>
          <w:szCs w:val="28"/>
        </w:rPr>
        <w:t xml:space="preserve"> zdravstva,2.6% bi prešlo u privatni sektor u zdravstvu,6.6% bi naputilo posao u zdravstvu i 38.6% ne bi menjalo posao.2013.godine 49,27% anketiranih bi ostalo u državnom sektoru zdravstva,1.45% bi prešlo u privatni sektor,8.7% je odgovorilo da bi napustilo posao u zdravstvu i 40.58% ne bi menjalo posao.(graf.1.19)</w:t>
      </w:r>
    </w:p>
    <w:p w:rsidR="00FB673D" w:rsidRDefault="00FB673D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91867" cy="3061252"/>
            <wp:effectExtent l="19050" t="0" r="13583" b="5798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FB673D" w:rsidRDefault="00FB673D" w:rsidP="003F1616">
      <w:pPr>
        <w:jc w:val="both"/>
        <w:rPr>
          <w:sz w:val="28"/>
          <w:szCs w:val="28"/>
        </w:rPr>
      </w:pPr>
      <w:r>
        <w:rPr>
          <w:sz w:val="28"/>
          <w:szCs w:val="28"/>
        </w:rPr>
        <w:t>Uzimajući sve u obzir,anketirani su dali svoju konačnu ocenu zadovolj</w:t>
      </w:r>
      <w:r w:rsidR="00C6436A">
        <w:rPr>
          <w:sz w:val="28"/>
          <w:szCs w:val="28"/>
        </w:rPr>
        <w:t>s</w:t>
      </w:r>
      <w:r>
        <w:rPr>
          <w:sz w:val="28"/>
          <w:szCs w:val="28"/>
        </w:rPr>
        <w:t>tvom na poslu.</w:t>
      </w:r>
      <w:r w:rsidR="00C6436A">
        <w:rPr>
          <w:sz w:val="28"/>
          <w:szCs w:val="28"/>
        </w:rPr>
        <w:t>2012.godine je 62.6% anketiranih bilo zadovoljno,33,3% ni zadovoljno ni nezadovoljno i 4% veoma nezadovoljno.2013.godine je 60.87% anketiranih zadovoljno, 34.78% ni zadovoljno ni nezadovoljno i 4.25% nezadovoljno. (graf.1.20)</w:t>
      </w:r>
    </w:p>
    <w:p w:rsidR="00C6436A" w:rsidRDefault="00C6436A" w:rsidP="003F16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95677" cy="2637182"/>
            <wp:effectExtent l="19050" t="0" r="9773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9B3A2A" w:rsidRPr="003F1616" w:rsidRDefault="009B3A2A" w:rsidP="003F1616">
      <w:pPr>
        <w:jc w:val="both"/>
        <w:rPr>
          <w:sz w:val="28"/>
          <w:szCs w:val="28"/>
        </w:rPr>
      </w:pPr>
    </w:p>
    <w:sectPr w:rsidR="009B3A2A" w:rsidRPr="003F1616" w:rsidSect="00666C21">
      <w:footerReference w:type="default" r:id="rId27"/>
      <w:pgSz w:w="11906" w:h="16838"/>
      <w:pgMar w:top="1417" w:right="113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3A14" w:rsidRDefault="00E93A14" w:rsidP="00666C21">
      <w:pPr>
        <w:spacing w:after="0" w:line="240" w:lineRule="auto"/>
      </w:pPr>
      <w:r>
        <w:separator/>
      </w:r>
    </w:p>
  </w:endnote>
  <w:endnote w:type="continuationSeparator" w:id="1">
    <w:p w:rsidR="00E93A14" w:rsidRDefault="00E93A14" w:rsidP="00666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1945162"/>
      <w:docPartObj>
        <w:docPartGallery w:val="Page Numbers (Bottom of Page)"/>
        <w:docPartUnique/>
      </w:docPartObj>
    </w:sdtPr>
    <w:sdtContent>
      <w:p w:rsidR="00666C21" w:rsidRDefault="00D27553">
        <w:pPr>
          <w:pStyle w:val="Footer"/>
        </w:pPr>
        <w:r w:rsidRPr="00D27553">
          <w:rPr>
            <w:noProof/>
            <w:lang w:val="en-US" w:eastAsia="zh-TW"/>
          </w:rPr>
          <w:pict>
            <v:shapetype id="_x0000_t185" coordsize="21600,21600" o:spt="185" adj="3600" path="m@0,nfqx0@0l0@2qy@0,21600em@1,nfqx21600@0l21600@2qy@1,21600em@0,nsqx0@0l0@2qy@0,21600l@1,21600qx21600@2l21600@0qy@1,xe" filled="f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o:extrusionok="f" gradientshapeok="t" limo="10800,10800" o:connecttype="custom" o:connectlocs="@8,0;0,@9;@8,@7;@6,@9" textboxrect="@3,@3,@4,@5"/>
              <v:handles>
                <v:h position="#0,topLeft" switch="" xrange="0,10800"/>
              </v:handles>
            </v:shapetype>
            <v:shape id="_x0000_s2057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    <v:textbox inset=",0,,0">
                <w:txbxContent>
                  <w:p w:rsidR="00666C21" w:rsidRDefault="00D27553">
                    <w:pPr>
                      <w:jc w:val="center"/>
                    </w:pPr>
                    <w:fldSimple w:instr=" PAGE    \* MERGEFORMAT ">
                      <w:r w:rsidR="009113FA">
                        <w:rPr>
                          <w:noProof/>
                        </w:rPr>
                        <w:t>13</w:t>
                      </w:r>
                    </w:fldSimple>
                  </w:p>
                </w:txbxContent>
              </v:textbox>
              <w10:wrap anchorx="margin" anchory="page"/>
            </v:shape>
          </w:pict>
        </w:r>
        <w:r w:rsidRPr="00D27553">
          <w:rPr>
            <w:noProof/>
            <w:lang w:val="en-US" w:eastAsia="zh-TW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6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3A14" w:rsidRDefault="00E93A14" w:rsidP="00666C21">
      <w:pPr>
        <w:spacing w:after="0" w:line="240" w:lineRule="auto"/>
      </w:pPr>
      <w:r>
        <w:separator/>
      </w:r>
    </w:p>
  </w:footnote>
  <w:footnote w:type="continuationSeparator" w:id="1">
    <w:p w:rsidR="00E93A14" w:rsidRDefault="00E93A14" w:rsidP="00666C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  <o:rules v:ext="edit">
        <o:r id="V:Rule2" type="connector" idref="#_x0000_s2056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9B2D9F"/>
    <w:rsid w:val="00051F08"/>
    <w:rsid w:val="00065B7D"/>
    <w:rsid w:val="001A73DC"/>
    <w:rsid w:val="001B5F3D"/>
    <w:rsid w:val="00213937"/>
    <w:rsid w:val="003B19CA"/>
    <w:rsid w:val="003F1616"/>
    <w:rsid w:val="004408FC"/>
    <w:rsid w:val="00577FA6"/>
    <w:rsid w:val="00666C21"/>
    <w:rsid w:val="0067319F"/>
    <w:rsid w:val="006A4B15"/>
    <w:rsid w:val="007147FC"/>
    <w:rsid w:val="007705AB"/>
    <w:rsid w:val="007948EB"/>
    <w:rsid w:val="008477F2"/>
    <w:rsid w:val="00900900"/>
    <w:rsid w:val="009113FA"/>
    <w:rsid w:val="009B2D9F"/>
    <w:rsid w:val="009B3A2A"/>
    <w:rsid w:val="009F1160"/>
    <w:rsid w:val="00B118A6"/>
    <w:rsid w:val="00BA69CA"/>
    <w:rsid w:val="00C447E3"/>
    <w:rsid w:val="00C6436A"/>
    <w:rsid w:val="00C97091"/>
    <w:rsid w:val="00CA1AA1"/>
    <w:rsid w:val="00CE1DAD"/>
    <w:rsid w:val="00D0691E"/>
    <w:rsid w:val="00D27553"/>
    <w:rsid w:val="00D959FE"/>
    <w:rsid w:val="00DA6104"/>
    <w:rsid w:val="00DE0CE8"/>
    <w:rsid w:val="00E17D5A"/>
    <w:rsid w:val="00E93A14"/>
    <w:rsid w:val="00FB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3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D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666C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6C21"/>
  </w:style>
  <w:style w:type="paragraph" w:styleId="Footer">
    <w:name w:val="footer"/>
    <w:basedOn w:val="Normal"/>
    <w:link w:val="FooterChar"/>
    <w:uiPriority w:val="99"/>
    <w:unhideWhenUsed/>
    <w:rsid w:val="00666C21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C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26" Type="http://schemas.openxmlformats.org/officeDocument/2006/relationships/chart" Target="charts/chart20.xml"/><Relationship Id="rId3" Type="http://schemas.openxmlformats.org/officeDocument/2006/relationships/webSettings" Target="webSettings.xml"/><Relationship Id="rId21" Type="http://schemas.openxmlformats.org/officeDocument/2006/relationships/chart" Target="charts/chart15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5" Type="http://schemas.openxmlformats.org/officeDocument/2006/relationships/chart" Target="charts/chart19.xml"/><Relationship Id="rId2" Type="http://schemas.openxmlformats.org/officeDocument/2006/relationships/settings" Target="settings.xml"/><Relationship Id="rId16" Type="http://schemas.openxmlformats.org/officeDocument/2006/relationships/chart" Target="charts/chart10.xml"/><Relationship Id="rId20" Type="http://schemas.openxmlformats.org/officeDocument/2006/relationships/chart" Target="charts/chart14.xm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hart" Target="charts/chart5.xml"/><Relationship Id="rId24" Type="http://schemas.openxmlformats.org/officeDocument/2006/relationships/chart" Target="charts/chart18.xml"/><Relationship Id="rId5" Type="http://schemas.openxmlformats.org/officeDocument/2006/relationships/endnotes" Target="endnotes.xml"/><Relationship Id="rId15" Type="http://schemas.openxmlformats.org/officeDocument/2006/relationships/chart" Target="charts/chart9.xml"/><Relationship Id="rId23" Type="http://schemas.openxmlformats.org/officeDocument/2006/relationships/chart" Target="charts/chart17.xml"/><Relationship Id="rId28" Type="http://schemas.openxmlformats.org/officeDocument/2006/relationships/fontTable" Target="fontTable.xml"/><Relationship Id="rId10" Type="http://schemas.openxmlformats.org/officeDocument/2006/relationships/chart" Target="charts/chart4.xml"/><Relationship Id="rId19" Type="http://schemas.openxmlformats.org/officeDocument/2006/relationships/chart" Target="charts/chart13.xml"/><Relationship Id="rId4" Type="http://schemas.openxmlformats.org/officeDocument/2006/relationships/footnotes" Target="footnotes.xml"/><Relationship Id="rId9" Type="http://schemas.openxmlformats.org/officeDocument/2006/relationships/chart" Target="charts/chart3.xml"/><Relationship Id="rId14" Type="http://schemas.openxmlformats.org/officeDocument/2006/relationships/chart" Target="charts/chart8.xml"/><Relationship Id="rId22" Type="http://schemas.openxmlformats.org/officeDocument/2006/relationships/chart" Target="charts/chart16.xml"/><Relationship Id="rId27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3"/>
  <c:chart>
    <c:title>
      <c:tx>
        <c:rich>
          <a:bodyPr/>
          <a:lstStyle/>
          <a:p>
            <a:pPr>
              <a:defRPr/>
            </a:pPr>
            <a:r>
              <a:rPr lang="sr-Latn-CS" sz="1400"/>
              <a:t>kadrovska</a:t>
            </a:r>
            <a:r>
              <a:rPr lang="sr-Latn-CS" sz="1400" baseline="0"/>
              <a:t> struktura</a:t>
            </a:r>
            <a:endParaRPr lang="sr-Latn-CS" sz="1400"/>
          </a:p>
        </c:rich>
      </c:tx>
    </c:title>
    <c:view3D>
      <c:rAngAx val="1"/>
    </c:view3D>
    <c:floor>
      <c:spPr>
        <a:noFill/>
        <a:ln w="9525">
          <a:noFill/>
        </a:ln>
      </c:spPr>
    </c:floor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zdravstveni radnik</c:v>
                </c:pt>
                <c:pt idx="1">
                  <c:v>zdravstveni saradnik</c:v>
                </c:pt>
                <c:pt idx="2">
                  <c:v>administrativni radnik</c:v>
                </c:pt>
                <c:pt idx="3">
                  <c:v>tehnički radnik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73</c:v>
                </c:pt>
                <c:pt idx="1">
                  <c:v>1.3</c:v>
                </c:pt>
                <c:pt idx="2">
                  <c:v>9.3000000000000007</c:v>
                </c:pt>
                <c:pt idx="3">
                  <c:v>16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zdravstveni radnik</c:v>
                </c:pt>
                <c:pt idx="1">
                  <c:v>zdravstveni saradnik</c:v>
                </c:pt>
                <c:pt idx="2">
                  <c:v>administrativni radnik</c:v>
                </c:pt>
                <c:pt idx="3">
                  <c:v>tehnički radnik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75.36</c:v>
                </c:pt>
                <c:pt idx="1">
                  <c:v>2.8</c:v>
                </c:pt>
                <c:pt idx="2">
                  <c:v>10.94</c:v>
                </c:pt>
                <c:pt idx="3">
                  <c:v>10.94</c:v>
                </c:pt>
              </c:numCache>
            </c:numRef>
          </c:val>
        </c:ser>
        <c:shape val="box"/>
        <c:axId val="68543232"/>
        <c:axId val="68545536"/>
        <c:axId val="0"/>
      </c:bar3DChart>
      <c:catAx>
        <c:axId val="68543232"/>
        <c:scaling>
          <c:orientation val="minMax"/>
        </c:scaling>
        <c:axPos val="b"/>
        <c:tickLblPos val="nextTo"/>
        <c:crossAx val="68545536"/>
        <c:crosses val="autoZero"/>
        <c:auto val="1"/>
        <c:lblAlgn val="ctr"/>
        <c:lblOffset val="100"/>
      </c:catAx>
      <c:valAx>
        <c:axId val="68545536"/>
        <c:scaling>
          <c:orientation val="minMax"/>
        </c:scaling>
        <c:axPos val="l"/>
        <c:majorGridlines/>
        <c:numFmt formatCode="General" sourceLinked="1"/>
        <c:tickLblPos val="nextTo"/>
        <c:crossAx val="685432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korišćenja znanja i veština</a:t>
            </a:r>
            <a:endParaRPr lang="sr-Latn-CS" sz="1400"/>
          </a:p>
        </c:rich>
      </c:tx>
      <c:layout>
        <c:manualLayout>
          <c:xMode val="edge"/>
          <c:yMode val="edge"/>
          <c:x val="0.33449235048678727"/>
          <c:y val="0.21628498727735379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75.8</c:v>
                </c:pt>
                <c:pt idx="1">
                  <c:v>21.4</c:v>
                </c:pt>
                <c:pt idx="2">
                  <c:v>3.5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73.910000000000025</c:v>
                </c:pt>
                <c:pt idx="1">
                  <c:v>18.84</c:v>
                </c:pt>
                <c:pt idx="2">
                  <c:v>7.25</c:v>
                </c:pt>
              </c:numCache>
            </c:numRef>
          </c:val>
        </c:ser>
        <c:shape val="cylinder"/>
        <c:axId val="86586112"/>
        <c:axId val="86587648"/>
        <c:axId val="0"/>
      </c:bar3DChart>
      <c:catAx>
        <c:axId val="86586112"/>
        <c:scaling>
          <c:orientation val="minMax"/>
        </c:scaling>
        <c:axPos val="b"/>
        <c:tickLblPos val="nextTo"/>
        <c:crossAx val="86587648"/>
        <c:crosses val="autoZero"/>
        <c:auto val="1"/>
        <c:lblAlgn val="ctr"/>
        <c:lblOffset val="100"/>
      </c:catAx>
      <c:valAx>
        <c:axId val="86587648"/>
        <c:scaling>
          <c:orientation val="minMax"/>
        </c:scaling>
        <c:axPos val="l"/>
        <c:majorGridlines/>
        <c:numFmt formatCode="General" sourceLinked="1"/>
        <c:tickLblPos val="nextTo"/>
        <c:crossAx val="865861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metarijalna</a:t>
            </a:r>
            <a:r>
              <a:rPr lang="sr-Latn-CS" sz="1400" baseline="0"/>
              <a:t> nadoknada</a:t>
            </a:r>
            <a:endParaRPr lang="sr-Latn-CS" sz="1400"/>
          </a:p>
        </c:rich>
      </c:tx>
      <c:layout>
        <c:manualLayout>
          <c:xMode val="edge"/>
          <c:yMode val="edge"/>
          <c:x val="0.36465277777777805"/>
          <c:y val="4.3650793650793676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37.300000000000004</c:v>
                </c:pt>
                <c:pt idx="1">
                  <c:v>32</c:v>
                </c:pt>
                <c:pt idx="2">
                  <c:v>30.6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37.68</c:v>
                </c:pt>
                <c:pt idx="1">
                  <c:v>28.97999999999999</c:v>
                </c:pt>
                <c:pt idx="2">
                  <c:v>31.88</c:v>
                </c:pt>
              </c:numCache>
            </c:numRef>
          </c:val>
        </c:ser>
        <c:shape val="cylinder"/>
        <c:axId val="86789120"/>
        <c:axId val="86987520"/>
        <c:axId val="0"/>
      </c:bar3DChart>
      <c:catAx>
        <c:axId val="86789120"/>
        <c:scaling>
          <c:orientation val="minMax"/>
        </c:scaling>
        <c:axPos val="b"/>
        <c:tickLblPos val="nextTo"/>
        <c:crossAx val="86987520"/>
        <c:crosses val="autoZero"/>
        <c:auto val="1"/>
        <c:lblAlgn val="ctr"/>
        <c:lblOffset val="100"/>
      </c:catAx>
      <c:valAx>
        <c:axId val="86987520"/>
        <c:scaling>
          <c:orientation val="minMax"/>
        </c:scaling>
        <c:axPos val="l"/>
        <c:majorGridlines/>
        <c:numFmt formatCode="General" sourceLinked="1"/>
        <c:tickLblPos val="nextTo"/>
        <c:crossAx val="867891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podrška</a:t>
            </a:r>
            <a:r>
              <a:rPr lang="sr-Latn-CS" sz="1400" baseline="0"/>
              <a:t> pretpostavljenih</a:t>
            </a:r>
            <a:endParaRPr lang="sr-Latn-CS" sz="1400"/>
          </a:p>
        </c:rich>
      </c:tx>
      <c:layout>
        <c:manualLayout>
          <c:xMode val="edge"/>
          <c:yMode val="edge"/>
          <c:x val="0.36561916739574257"/>
          <c:y val="0.21428571428571427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76</c:v>
                </c:pt>
                <c:pt idx="1">
                  <c:v>18.600000000000001</c:v>
                </c:pt>
                <c:pt idx="2">
                  <c:v>5.3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66.66</c:v>
                </c:pt>
                <c:pt idx="1">
                  <c:v>18.84</c:v>
                </c:pt>
                <c:pt idx="2">
                  <c:v>11.6</c:v>
                </c:pt>
              </c:numCache>
            </c:numRef>
          </c:val>
        </c:ser>
        <c:shape val="cylinder"/>
        <c:axId val="86996480"/>
        <c:axId val="86998016"/>
        <c:axId val="0"/>
      </c:bar3DChart>
      <c:catAx>
        <c:axId val="86996480"/>
        <c:scaling>
          <c:orientation val="minMax"/>
        </c:scaling>
        <c:axPos val="b"/>
        <c:tickLblPos val="nextTo"/>
        <c:crossAx val="86998016"/>
        <c:crosses val="autoZero"/>
        <c:auto val="1"/>
        <c:lblAlgn val="ctr"/>
        <c:lblOffset val="100"/>
      </c:catAx>
      <c:valAx>
        <c:axId val="86998016"/>
        <c:scaling>
          <c:orientation val="minMax"/>
        </c:scaling>
        <c:axPos val="l"/>
        <c:majorGridlines/>
        <c:numFmt formatCode="General" sourceLinked="1"/>
        <c:tickLblPos val="nextTo"/>
        <c:crossAx val="869964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iznošenje</a:t>
            </a:r>
            <a:r>
              <a:rPr lang="sr-Latn-CS" sz="1400" baseline="0"/>
              <a:t> ideje pretpostavljenima</a:t>
            </a:r>
            <a:endParaRPr lang="sr-Latn-CS" sz="1400"/>
          </a:p>
        </c:rich>
      </c:tx>
      <c:layout>
        <c:manualLayout>
          <c:xMode val="edge"/>
          <c:yMode val="edge"/>
          <c:x val="0.34300342665500144"/>
          <c:y val="0.21825396825396826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73.3</c:v>
                </c:pt>
                <c:pt idx="1">
                  <c:v>20</c:v>
                </c:pt>
                <c:pt idx="2">
                  <c:v>6.6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66.66</c:v>
                </c:pt>
                <c:pt idx="1">
                  <c:v>24.63000000000001</c:v>
                </c:pt>
                <c:pt idx="2">
                  <c:v>8.7000000000000011</c:v>
                </c:pt>
              </c:numCache>
            </c:numRef>
          </c:val>
        </c:ser>
        <c:shape val="cylinder"/>
        <c:axId val="87007232"/>
        <c:axId val="87008768"/>
        <c:axId val="0"/>
      </c:bar3DChart>
      <c:catAx>
        <c:axId val="87007232"/>
        <c:scaling>
          <c:orientation val="minMax"/>
        </c:scaling>
        <c:axPos val="b"/>
        <c:tickLblPos val="nextTo"/>
        <c:crossAx val="87008768"/>
        <c:crosses val="autoZero"/>
        <c:auto val="1"/>
        <c:lblAlgn val="ctr"/>
        <c:lblOffset val="100"/>
      </c:catAx>
      <c:valAx>
        <c:axId val="87008768"/>
        <c:scaling>
          <c:orientation val="minMax"/>
        </c:scaling>
        <c:axPos val="l"/>
        <c:majorGridlines/>
        <c:numFmt formatCode="General" sourceLinked="1"/>
        <c:tickLblPos val="nextTo"/>
        <c:crossAx val="870072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dobijanje</a:t>
            </a:r>
            <a:r>
              <a:rPr lang="sr-Latn-CS" sz="1400" baseline="0"/>
              <a:t> jasnih uputstva</a:t>
            </a:r>
            <a:endParaRPr lang="sr-Latn-CS" sz="1400"/>
          </a:p>
        </c:rich>
      </c:tx>
      <c:layout>
        <c:manualLayout>
          <c:xMode val="edge"/>
          <c:yMode val="edge"/>
          <c:x val="0.36960472952007589"/>
          <c:y val="0.22135416666666666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75.900000000000006</c:v>
                </c:pt>
                <c:pt idx="1">
                  <c:v>18.600000000000001</c:v>
                </c:pt>
                <c:pt idx="2">
                  <c:v>5.3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68.11999999999999</c:v>
                </c:pt>
                <c:pt idx="1">
                  <c:v>23.19</c:v>
                </c:pt>
                <c:pt idx="2">
                  <c:v>8.7000000000000011</c:v>
                </c:pt>
              </c:numCache>
            </c:numRef>
          </c:val>
        </c:ser>
        <c:shape val="cylinder"/>
        <c:axId val="96536832"/>
        <c:axId val="96538624"/>
        <c:axId val="0"/>
      </c:bar3DChart>
      <c:catAx>
        <c:axId val="96536832"/>
        <c:scaling>
          <c:orientation val="minMax"/>
        </c:scaling>
        <c:axPos val="b"/>
        <c:tickLblPos val="nextTo"/>
        <c:crossAx val="96538624"/>
        <c:crosses val="autoZero"/>
        <c:auto val="1"/>
        <c:lblAlgn val="ctr"/>
        <c:lblOffset val="100"/>
      </c:catAx>
      <c:valAx>
        <c:axId val="96538624"/>
        <c:scaling>
          <c:orientation val="minMax"/>
        </c:scaling>
        <c:axPos val="l"/>
        <c:majorGridlines/>
        <c:numFmt formatCode="General" sourceLinked="1"/>
        <c:tickLblPos val="nextTo"/>
        <c:crossAx val="965368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emocionalna</a:t>
            </a:r>
            <a:r>
              <a:rPr lang="sr-Latn-CS" sz="1400" baseline="0"/>
              <a:t> iscrpljenost</a:t>
            </a:r>
            <a:endParaRPr lang="sr-Latn-CS" sz="1400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13.3</c:v>
                </c:pt>
                <c:pt idx="1">
                  <c:v>22.6</c:v>
                </c:pt>
                <c:pt idx="2">
                  <c:v>30.6</c:v>
                </c:pt>
                <c:pt idx="3">
                  <c:v>22.6</c:v>
                </c:pt>
                <c:pt idx="4">
                  <c:v>13.3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10.139999999999999</c:v>
                </c:pt>
                <c:pt idx="1">
                  <c:v>8.7000000000000011</c:v>
                </c:pt>
                <c:pt idx="2">
                  <c:v>31.88</c:v>
                </c:pt>
                <c:pt idx="3">
                  <c:v>30.3</c:v>
                </c:pt>
                <c:pt idx="4">
                  <c:v>10.15</c:v>
                </c:pt>
              </c:numCache>
            </c:numRef>
          </c:val>
        </c:ser>
        <c:shape val="cylinder"/>
        <c:axId val="86938368"/>
        <c:axId val="86939904"/>
        <c:axId val="0"/>
      </c:bar3DChart>
      <c:catAx>
        <c:axId val="86938368"/>
        <c:scaling>
          <c:orientation val="minMax"/>
        </c:scaling>
        <c:axPos val="b"/>
        <c:tickLblPos val="nextTo"/>
        <c:crossAx val="86939904"/>
        <c:crosses val="autoZero"/>
        <c:auto val="1"/>
        <c:lblAlgn val="ctr"/>
        <c:lblOffset val="100"/>
      </c:catAx>
      <c:valAx>
        <c:axId val="86939904"/>
        <c:scaling>
          <c:orientation val="minMax"/>
        </c:scaling>
        <c:axPos val="l"/>
        <c:majorGridlines/>
        <c:numFmt formatCode="General" sourceLinked="1"/>
        <c:tickLblPos val="nextTo"/>
        <c:crossAx val="869383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3"/>
  <c:chart>
    <c:title>
      <c:tx>
        <c:rich>
          <a:bodyPr/>
          <a:lstStyle/>
          <a:p>
            <a:pPr>
              <a:defRPr/>
            </a:pPr>
            <a:r>
              <a:rPr lang="sr-Latn-CS" sz="1400"/>
              <a:t>fizička</a:t>
            </a:r>
            <a:r>
              <a:rPr lang="sr-Latn-CS" sz="1400" baseline="0"/>
              <a:t> iscrpljenost</a:t>
            </a:r>
            <a:endParaRPr lang="sr-Latn-CS" sz="1400"/>
          </a:p>
        </c:rich>
      </c:tx>
      <c:layout>
        <c:manualLayout>
          <c:xMode val="edge"/>
          <c:yMode val="edge"/>
          <c:x val="0.54189242675450844"/>
          <c:y val="0.13071895424836605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9.3000000000000007</c:v>
                </c:pt>
                <c:pt idx="1">
                  <c:v>14.6</c:v>
                </c:pt>
                <c:pt idx="2">
                  <c:v>42.6</c:v>
                </c:pt>
                <c:pt idx="3">
                  <c:v>24</c:v>
                </c:pt>
                <c:pt idx="4">
                  <c:v>9.3000000000000007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4.3499999999999996</c:v>
                </c:pt>
                <c:pt idx="1">
                  <c:v>20.29</c:v>
                </c:pt>
                <c:pt idx="2">
                  <c:v>26.09</c:v>
                </c:pt>
                <c:pt idx="3">
                  <c:v>23.19</c:v>
                </c:pt>
                <c:pt idx="4">
                  <c:v>14.29</c:v>
                </c:pt>
              </c:numCache>
            </c:numRef>
          </c:val>
        </c:ser>
        <c:shape val="cylinder"/>
        <c:axId val="87051264"/>
        <c:axId val="98337536"/>
        <c:axId val="0"/>
      </c:bar3DChart>
      <c:catAx>
        <c:axId val="87051264"/>
        <c:scaling>
          <c:orientation val="minMax"/>
        </c:scaling>
        <c:axPos val="b"/>
        <c:tickLblPos val="nextTo"/>
        <c:crossAx val="98337536"/>
        <c:crosses val="autoZero"/>
        <c:auto val="1"/>
        <c:lblAlgn val="ctr"/>
        <c:lblOffset val="100"/>
      </c:catAx>
      <c:valAx>
        <c:axId val="98337536"/>
        <c:scaling>
          <c:orientation val="minMax"/>
        </c:scaling>
        <c:axPos val="l"/>
        <c:majorGridlines/>
        <c:numFmt formatCode="General" sourceLinked="1"/>
        <c:tickLblPos val="nextTo"/>
        <c:crossAx val="870512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umor</a:t>
            </a:r>
            <a:r>
              <a:rPr lang="sr-Latn-CS" sz="1400" baseline="0"/>
              <a:t> na pomisao na posao</a:t>
            </a:r>
            <a:endParaRPr lang="sr-Latn-CS" sz="1400"/>
          </a:p>
        </c:rich>
      </c:tx>
      <c:layout>
        <c:manualLayout>
          <c:xMode val="edge"/>
          <c:yMode val="edge"/>
          <c:x val="0.47471614693055658"/>
          <c:y val="0.1739130434782609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33.300000000000011</c:v>
                </c:pt>
                <c:pt idx="1">
                  <c:v>30.6</c:v>
                </c:pt>
                <c:pt idx="2">
                  <c:v>22.6</c:v>
                </c:pt>
                <c:pt idx="3">
                  <c:v>9.3000000000000007</c:v>
                </c:pt>
                <c:pt idx="4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Sheet1!$A$2:$A$6</c:f>
              <c:strCache>
                <c:ptCount val="5"/>
                <c:pt idx="0">
                  <c:v>ne,nikada</c:v>
                </c:pt>
                <c:pt idx="1">
                  <c:v>ne,retko</c:v>
                </c:pt>
                <c:pt idx="2">
                  <c:v>da,ponekad</c:v>
                </c:pt>
                <c:pt idx="3">
                  <c:v>da,često</c:v>
                </c:pt>
                <c:pt idx="4">
                  <c:v>da,uvek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27.54</c:v>
                </c:pt>
                <c:pt idx="1">
                  <c:v>21.7</c:v>
                </c:pt>
                <c:pt idx="2">
                  <c:v>18.84</c:v>
                </c:pt>
                <c:pt idx="3">
                  <c:v>11.59</c:v>
                </c:pt>
                <c:pt idx="4">
                  <c:v>7.25</c:v>
                </c:pt>
              </c:numCache>
            </c:numRef>
          </c:val>
        </c:ser>
        <c:shape val="cylinder"/>
        <c:axId val="98346496"/>
        <c:axId val="98348032"/>
        <c:axId val="0"/>
      </c:bar3DChart>
      <c:catAx>
        <c:axId val="98346496"/>
        <c:scaling>
          <c:orientation val="minMax"/>
        </c:scaling>
        <c:axPos val="b"/>
        <c:tickLblPos val="nextTo"/>
        <c:crossAx val="98348032"/>
        <c:crosses val="autoZero"/>
        <c:auto val="1"/>
        <c:lblAlgn val="ctr"/>
        <c:lblOffset val="100"/>
      </c:catAx>
      <c:valAx>
        <c:axId val="98348032"/>
        <c:scaling>
          <c:orientation val="minMax"/>
        </c:scaling>
        <c:axPos val="l"/>
        <c:majorGridlines/>
        <c:numFmt formatCode="General" sourceLinked="1"/>
        <c:tickLblPos val="nextTo"/>
        <c:crossAx val="9834649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poslom pre 5 god.i sada</a:t>
            </a:r>
            <a:endParaRPr lang="sr-Latn-CS" sz="1400"/>
          </a:p>
        </c:rich>
      </c:tx>
      <c:layout>
        <c:manualLayout>
          <c:xMode val="edge"/>
          <c:yMode val="edge"/>
          <c:x val="0.34865214003302747"/>
          <c:y val="5.8489828756944112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nema razlike</c:v>
                </c:pt>
                <c:pt idx="2">
                  <c:v>nezadovoljni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37.300000000000011</c:v>
                </c:pt>
                <c:pt idx="1">
                  <c:v>41.3</c:v>
                </c:pt>
                <c:pt idx="2">
                  <c:v>37.300000000000011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nema razlike</c:v>
                </c:pt>
                <c:pt idx="2">
                  <c:v>nezadovoljni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39.130000000000003</c:v>
                </c:pt>
                <c:pt idx="1">
                  <c:v>26.09</c:v>
                </c:pt>
                <c:pt idx="2">
                  <c:v>33.33</c:v>
                </c:pt>
              </c:numCache>
            </c:numRef>
          </c:val>
        </c:ser>
        <c:shape val="cylinder"/>
        <c:axId val="96595968"/>
        <c:axId val="96597504"/>
        <c:axId val="0"/>
      </c:bar3DChart>
      <c:catAx>
        <c:axId val="96595968"/>
        <c:scaling>
          <c:orientation val="minMax"/>
        </c:scaling>
        <c:axPos val="b"/>
        <c:tickLblPos val="nextTo"/>
        <c:crossAx val="96597504"/>
        <c:crosses val="autoZero"/>
        <c:auto val="1"/>
        <c:lblAlgn val="ctr"/>
        <c:lblOffset val="100"/>
      </c:catAx>
      <c:valAx>
        <c:axId val="96597504"/>
        <c:scaling>
          <c:orientation val="minMax"/>
        </c:scaling>
        <c:axPos val="l"/>
        <c:majorGridlines/>
        <c:numFmt formatCode="General" sourceLinked="1"/>
        <c:tickLblPos val="nextTo"/>
        <c:crossAx val="9659596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promena</a:t>
            </a:r>
            <a:r>
              <a:rPr lang="sr-Latn-CS" sz="1400" baseline="0"/>
              <a:t> posla</a:t>
            </a:r>
            <a:endParaRPr lang="sr-Latn-CS" sz="1400"/>
          </a:p>
        </c:rich>
      </c:tx>
      <c:layout>
        <c:manualLayout>
          <c:xMode val="edge"/>
          <c:yMode val="edge"/>
          <c:x val="0.40769614413459027"/>
          <c:y val="0.13275614029815253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zdravstvo,državni</c:v>
                </c:pt>
                <c:pt idx="1">
                  <c:v>zdravstvo,privatni</c:v>
                </c:pt>
                <c:pt idx="2">
                  <c:v>van zdravstva</c:v>
                </c:pt>
                <c:pt idx="3">
                  <c:v>ne bi menjali posao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52</c:v>
                </c:pt>
                <c:pt idx="1">
                  <c:v>2.6</c:v>
                </c:pt>
                <c:pt idx="2">
                  <c:v>6.6</c:v>
                </c:pt>
                <c:pt idx="3">
                  <c:v>38.6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zdravstvo,državni</c:v>
                </c:pt>
                <c:pt idx="1">
                  <c:v>zdravstvo,privatni</c:v>
                </c:pt>
                <c:pt idx="2">
                  <c:v>van zdravstva</c:v>
                </c:pt>
                <c:pt idx="3">
                  <c:v>ne bi menjali posao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49.27</c:v>
                </c:pt>
                <c:pt idx="1">
                  <c:v>1.45</c:v>
                </c:pt>
                <c:pt idx="2">
                  <c:v>8.7000000000000011</c:v>
                </c:pt>
                <c:pt idx="3">
                  <c:v>40.58</c:v>
                </c:pt>
              </c:numCache>
            </c:numRef>
          </c:val>
        </c:ser>
        <c:shape val="cylinder"/>
        <c:axId val="98396416"/>
        <c:axId val="100921344"/>
        <c:axId val="0"/>
      </c:bar3DChart>
      <c:catAx>
        <c:axId val="98396416"/>
        <c:scaling>
          <c:orientation val="minMax"/>
        </c:scaling>
        <c:axPos val="b"/>
        <c:tickLblPos val="nextTo"/>
        <c:crossAx val="100921344"/>
        <c:crosses val="autoZero"/>
        <c:auto val="1"/>
        <c:lblAlgn val="ctr"/>
        <c:lblOffset val="100"/>
      </c:catAx>
      <c:valAx>
        <c:axId val="100921344"/>
        <c:scaling>
          <c:orientation val="minMax"/>
        </c:scaling>
        <c:axPos val="l"/>
        <c:majorGridlines/>
        <c:numFmt formatCode="General" sourceLinked="1"/>
        <c:tickLblPos val="nextTo"/>
        <c:crossAx val="983964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adekvatnošću opreme</a:t>
            </a:r>
            <a:endParaRPr lang="sr-Latn-CS" sz="1400"/>
          </a:p>
        </c:rich>
      </c:tx>
      <c:layout>
        <c:manualLayout>
          <c:xMode val="edge"/>
          <c:yMode val="edge"/>
          <c:x val="0.26044564741907261"/>
          <c:y val="5.9523809523809507E-2"/>
        </c:manualLayout>
      </c:layout>
    </c:title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 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71.900000000000006</c:v>
                </c:pt>
                <c:pt idx="1">
                  <c:v>22.6</c:v>
                </c:pt>
                <c:pt idx="2">
                  <c:v>5.3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 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65.22</c:v>
                </c:pt>
                <c:pt idx="1">
                  <c:v>18.84</c:v>
                </c:pt>
                <c:pt idx="2">
                  <c:v>8.65</c:v>
                </c:pt>
              </c:numCache>
            </c:numRef>
          </c:val>
        </c:ser>
        <c:shape val="cylinder"/>
        <c:axId val="71801472"/>
        <c:axId val="71812224"/>
        <c:axId val="0"/>
      </c:bar3DChart>
      <c:catAx>
        <c:axId val="71801472"/>
        <c:scaling>
          <c:orientation val="minMax"/>
        </c:scaling>
        <c:axPos val="b"/>
        <c:tickLblPos val="nextTo"/>
        <c:crossAx val="71812224"/>
        <c:crosses val="autoZero"/>
        <c:auto val="1"/>
        <c:lblAlgn val="ctr"/>
        <c:lblOffset val="100"/>
      </c:catAx>
      <c:valAx>
        <c:axId val="71812224"/>
        <c:scaling>
          <c:orientation val="minMax"/>
        </c:scaling>
        <c:axPos val="l"/>
        <c:majorGridlines/>
        <c:numFmt formatCode="General" sourceLinked="1"/>
        <c:tickLblPos val="nextTo"/>
        <c:crossAx val="718014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poslom</a:t>
            </a:r>
          </a:p>
          <a:p>
            <a:pPr>
              <a:defRPr/>
            </a:pPr>
            <a:endParaRPr lang="sr-Latn-CS" sz="1400"/>
          </a:p>
        </c:rich>
      </c:tx>
      <c:layout>
        <c:manualLayout>
          <c:xMode val="edge"/>
          <c:yMode val="edge"/>
          <c:x val="0.53023822178777968"/>
          <c:y val="0.1492881416603026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62.6</c:v>
                </c:pt>
                <c:pt idx="1">
                  <c:v>33.300000000000011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60.87</c:v>
                </c:pt>
                <c:pt idx="1">
                  <c:v>34.78</c:v>
                </c:pt>
                <c:pt idx="2">
                  <c:v>4.25</c:v>
                </c:pt>
              </c:numCache>
            </c:numRef>
          </c:val>
        </c:ser>
        <c:shape val="box"/>
        <c:axId val="100942592"/>
        <c:axId val="100944128"/>
        <c:axId val="0"/>
      </c:bar3DChart>
      <c:catAx>
        <c:axId val="100942592"/>
        <c:scaling>
          <c:orientation val="minMax"/>
        </c:scaling>
        <c:axPos val="b"/>
        <c:tickLblPos val="nextTo"/>
        <c:crossAx val="100944128"/>
        <c:crosses val="autoZero"/>
        <c:auto val="1"/>
        <c:lblAlgn val="ctr"/>
        <c:lblOffset val="100"/>
      </c:catAx>
      <c:valAx>
        <c:axId val="100944128"/>
        <c:scaling>
          <c:orientation val="minMax"/>
        </c:scaling>
        <c:axPos val="l"/>
        <c:majorGridlines/>
        <c:numFmt formatCode="General" sourceLinked="1"/>
        <c:tickLblPos val="nextTo"/>
        <c:crossAx val="1009425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međuljudski</a:t>
            </a:r>
            <a:r>
              <a:rPr lang="sr-Latn-CS" sz="1400" baseline="0"/>
              <a:t> odnosi</a:t>
            </a:r>
            <a:endParaRPr lang="sr-Latn-CS" sz="1400"/>
          </a:p>
        </c:rich>
      </c:tx>
      <c:layout>
        <c:manualLayout>
          <c:xMode val="edge"/>
          <c:yMode val="edge"/>
          <c:x val="0.35587962962963016"/>
          <c:y val="5.1587301587301577E-2"/>
        </c:manualLayout>
      </c:layout>
      <c:overlay val="1"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 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55.9</c:v>
                </c:pt>
                <c:pt idx="1">
                  <c:v>33.300000000000004</c:v>
                </c:pt>
                <c:pt idx="2">
                  <c:v>10.6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 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50.730000000000011</c:v>
                </c:pt>
                <c:pt idx="1">
                  <c:v>24.64</c:v>
                </c:pt>
                <c:pt idx="2">
                  <c:v>23.19</c:v>
                </c:pt>
              </c:numCache>
            </c:numRef>
          </c:val>
        </c:ser>
        <c:axId val="79618432"/>
        <c:axId val="79826304"/>
      </c:barChart>
      <c:catAx>
        <c:axId val="79618432"/>
        <c:scaling>
          <c:orientation val="minMax"/>
        </c:scaling>
        <c:axPos val="b"/>
        <c:tickLblPos val="nextTo"/>
        <c:crossAx val="79826304"/>
        <c:crosses val="autoZero"/>
        <c:auto val="1"/>
        <c:lblAlgn val="ctr"/>
        <c:lblOffset val="100"/>
      </c:catAx>
      <c:valAx>
        <c:axId val="79826304"/>
        <c:scaling>
          <c:orientation val="minMax"/>
        </c:scaling>
        <c:axPos val="l"/>
        <c:majorGridlines/>
        <c:numFmt formatCode="General" sourceLinked="1"/>
        <c:tickLblPos val="nextTo"/>
        <c:crossAx val="7961843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7"/>
  <c:chart>
    <c:title>
      <c:tx>
        <c:rich>
          <a:bodyPr/>
          <a:lstStyle/>
          <a:p>
            <a:pPr>
              <a:defRPr/>
            </a:pPr>
            <a:r>
              <a:rPr lang="sr-Latn-CS" sz="1400"/>
              <a:t>saradnja</a:t>
            </a:r>
            <a:r>
              <a:rPr lang="sr-Latn-CS" sz="1400" baseline="0"/>
              <a:t> sa kolegama</a:t>
            </a:r>
            <a:endParaRPr lang="sr-Latn-CS" sz="1400"/>
          </a:p>
        </c:rich>
      </c:tx>
      <c:layout>
        <c:manualLayout>
          <c:xMode val="edge"/>
          <c:yMode val="edge"/>
          <c:x val="0.40222531293463148"/>
          <c:y val="5.7189542483660059E-2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72</c:v>
                </c:pt>
                <c:pt idx="1">
                  <c:v>26.6</c:v>
                </c:pt>
                <c:pt idx="2">
                  <c:v>1.33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75.36</c:v>
                </c:pt>
                <c:pt idx="1">
                  <c:v>20.29</c:v>
                </c:pt>
                <c:pt idx="2">
                  <c:v>2.9</c:v>
                </c:pt>
              </c:numCache>
            </c:numRef>
          </c:val>
        </c:ser>
        <c:shape val="cylinder"/>
        <c:axId val="80900864"/>
        <c:axId val="80910208"/>
        <c:axId val="0"/>
      </c:bar3DChart>
      <c:catAx>
        <c:axId val="80900864"/>
        <c:scaling>
          <c:orientation val="minMax"/>
        </c:scaling>
        <c:axPos val="b"/>
        <c:tickLblPos val="nextTo"/>
        <c:crossAx val="80910208"/>
        <c:crosses val="autoZero"/>
        <c:auto val="1"/>
        <c:lblAlgn val="ctr"/>
        <c:lblOffset val="100"/>
      </c:catAx>
      <c:valAx>
        <c:axId val="80910208"/>
        <c:scaling>
          <c:orientation val="minMax"/>
        </c:scaling>
        <c:axPos val="l"/>
        <c:majorGridlines/>
        <c:numFmt formatCode="General" sourceLinked="1"/>
        <c:tickLblPos val="nextTo"/>
        <c:crossAx val="8090086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autonomijom u radu</a:t>
            </a:r>
            <a:endParaRPr lang="sr-Latn-CS" sz="1400"/>
          </a:p>
        </c:rich>
      </c:tx>
      <c:layout>
        <c:manualLayout>
          <c:xMode val="edge"/>
          <c:yMode val="edge"/>
          <c:x val="0.29712962962963002"/>
          <c:y val="4.3650793650793697E-2"/>
        </c:manualLayout>
      </c:layout>
      <c:overlay val="1"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71.900000000000006</c:v>
                </c:pt>
                <c:pt idx="1">
                  <c:v>24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82.54</c:v>
                </c:pt>
                <c:pt idx="1">
                  <c:v>14.49</c:v>
                </c:pt>
                <c:pt idx="2">
                  <c:v>2.9</c:v>
                </c:pt>
              </c:numCache>
            </c:numRef>
          </c:val>
        </c:ser>
        <c:axId val="86550016"/>
        <c:axId val="86551552"/>
      </c:barChart>
      <c:catAx>
        <c:axId val="86550016"/>
        <c:scaling>
          <c:orientation val="minMax"/>
        </c:scaling>
        <c:axPos val="b"/>
        <c:tickLblPos val="nextTo"/>
        <c:crossAx val="86551552"/>
        <c:crosses val="autoZero"/>
        <c:auto val="1"/>
        <c:lblAlgn val="ctr"/>
        <c:lblOffset val="100"/>
      </c:catAx>
      <c:valAx>
        <c:axId val="86551552"/>
        <c:scaling>
          <c:orientation val="minMax"/>
        </c:scaling>
        <c:axPos val="l"/>
        <c:majorGridlines/>
        <c:numFmt formatCode="General" sourceLinked="1"/>
        <c:tickLblPos val="nextTo"/>
        <c:crossAx val="865500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mogućnošću profesionalnog razvoja</a:t>
            </a:r>
            <a:endParaRPr lang="sr-Latn-CS" sz="1400"/>
          </a:p>
        </c:rich>
      </c:tx>
      <c:layout>
        <c:manualLayout>
          <c:xMode val="edge"/>
          <c:yMode val="edge"/>
          <c:x val="0.29457956914524019"/>
          <c:y val="0.16260162601626016"/>
        </c:manualLayout>
      </c:layout>
      <c:overlay val="1"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46.6</c:v>
                </c:pt>
                <c:pt idx="1">
                  <c:v>22.6</c:v>
                </c:pt>
                <c:pt idx="2">
                  <c:v>10.6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60.87</c:v>
                </c:pt>
                <c:pt idx="1">
                  <c:v>21.74</c:v>
                </c:pt>
                <c:pt idx="2">
                  <c:v>17.39</c:v>
                </c:pt>
              </c:numCache>
            </c:numRef>
          </c:val>
        </c:ser>
        <c:axId val="68582784"/>
        <c:axId val="68584576"/>
      </c:barChart>
      <c:catAx>
        <c:axId val="68582784"/>
        <c:scaling>
          <c:orientation val="minMax"/>
        </c:scaling>
        <c:axPos val="b"/>
        <c:tickLblPos val="nextTo"/>
        <c:crossAx val="68584576"/>
        <c:crosses val="autoZero"/>
        <c:auto val="1"/>
        <c:lblAlgn val="ctr"/>
        <c:lblOffset val="100"/>
      </c:catAx>
      <c:valAx>
        <c:axId val="68584576"/>
        <c:scaling>
          <c:orientation val="minMax"/>
        </c:scaling>
        <c:axPos val="l"/>
        <c:majorGridlines/>
        <c:numFmt formatCode="General" sourceLinked="1"/>
        <c:tickLblPos val="nextTo"/>
        <c:crossAx val="685827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/>
            </a:pPr>
            <a:r>
              <a:rPr lang="sr-Latn-CS"/>
              <a:t>raspoloživo vreme</a:t>
            </a:r>
          </a:p>
        </c:rich>
      </c:tx>
      <c:layout>
        <c:manualLayout>
          <c:xMode val="edge"/>
          <c:yMode val="edge"/>
          <c:x val="0.4350173155438905"/>
          <c:y val="0.23809523809523825"/>
        </c:manualLayout>
      </c:layout>
      <c:overlay val="1"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70.599999999999994</c:v>
                </c:pt>
                <c:pt idx="1">
                  <c:v>25.3</c:v>
                </c:pt>
                <c:pt idx="2">
                  <c:v>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zadovoljni</c:v>
                </c:pt>
                <c:pt idx="1">
                  <c:v>ni zadovoljni ni nezadovoljni</c:v>
                </c:pt>
                <c:pt idx="2">
                  <c:v>nezadovoljni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68.11</c:v>
                </c:pt>
                <c:pt idx="1">
                  <c:v>15.94</c:v>
                </c:pt>
                <c:pt idx="2">
                  <c:v>14.5</c:v>
                </c:pt>
              </c:numCache>
            </c:numRef>
          </c:val>
        </c:ser>
        <c:axId val="85706240"/>
        <c:axId val="85707776"/>
      </c:barChart>
      <c:catAx>
        <c:axId val="85706240"/>
        <c:scaling>
          <c:orientation val="minMax"/>
        </c:scaling>
        <c:axPos val="b"/>
        <c:tickLblPos val="nextTo"/>
        <c:crossAx val="85707776"/>
        <c:crosses val="autoZero"/>
        <c:auto val="1"/>
        <c:lblAlgn val="ctr"/>
        <c:lblOffset val="100"/>
      </c:catAx>
      <c:valAx>
        <c:axId val="85707776"/>
        <c:scaling>
          <c:orientation val="minMax"/>
        </c:scaling>
        <c:axPos val="l"/>
        <c:majorGridlines/>
        <c:numFmt formatCode="General" sourceLinked="1"/>
        <c:tickLblPos val="nextTo"/>
        <c:crossAx val="8570624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za kontinuiranu edukaciju</a:t>
            </a:r>
            <a:endParaRPr lang="sr-Latn-CS" sz="1400"/>
          </a:p>
        </c:rich>
      </c:tx>
      <c:layout>
        <c:manualLayout>
          <c:xMode val="edge"/>
          <c:yMode val="edge"/>
          <c:x val="0.3257175925925927"/>
          <c:y val="0.1626984126984127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66.599999999999994</c:v>
                </c:pt>
                <c:pt idx="1">
                  <c:v>24</c:v>
                </c:pt>
                <c:pt idx="2">
                  <c:v>9.3000000000000007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60.9</c:v>
                </c:pt>
                <c:pt idx="1">
                  <c:v>17.39</c:v>
                </c:pt>
                <c:pt idx="2">
                  <c:v>20.3</c:v>
                </c:pt>
              </c:numCache>
            </c:numRef>
          </c:val>
        </c:ser>
        <c:shape val="cylinder"/>
        <c:axId val="86814720"/>
        <c:axId val="86816256"/>
        <c:axId val="0"/>
      </c:bar3DChart>
      <c:catAx>
        <c:axId val="86814720"/>
        <c:scaling>
          <c:orientation val="minMax"/>
        </c:scaling>
        <c:axPos val="b"/>
        <c:tickLblPos val="nextTo"/>
        <c:crossAx val="86816256"/>
        <c:crosses val="autoZero"/>
        <c:auto val="1"/>
        <c:lblAlgn val="ctr"/>
        <c:lblOffset val="100"/>
      </c:catAx>
      <c:valAx>
        <c:axId val="86816256"/>
        <c:scaling>
          <c:orientation val="minMax"/>
        </c:scaling>
        <c:axPos val="l"/>
        <c:majorGridlines/>
        <c:numFmt formatCode="General" sourceLinked="1"/>
        <c:tickLblPos val="nextTo"/>
        <c:crossAx val="868147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1"/>
  <c:chart>
    <c:title>
      <c:tx>
        <c:rich>
          <a:bodyPr/>
          <a:lstStyle/>
          <a:p>
            <a:pPr>
              <a:defRPr/>
            </a:pPr>
            <a:r>
              <a:rPr lang="sr-Latn-CS" sz="1400"/>
              <a:t>evaluacija</a:t>
            </a:r>
            <a:r>
              <a:rPr lang="sr-Latn-CS" sz="1400" baseline="0"/>
              <a:t> od strane rukovodećeg kadra</a:t>
            </a:r>
            <a:endParaRPr lang="sr-Latn-CS" sz="1400"/>
          </a:p>
        </c:rich>
      </c:tx>
      <c:layout>
        <c:manualLayout>
          <c:xMode val="edge"/>
          <c:yMode val="edge"/>
          <c:x val="0.33903926071741053"/>
          <c:y val="0.14285714285714296"/>
        </c:manualLayout>
      </c:layout>
      <c:overlay val="1"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76</c:v>
                </c:pt>
                <c:pt idx="1">
                  <c:v>25.3</c:v>
                </c:pt>
                <c:pt idx="2">
                  <c:v>2.6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2013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zadovoljno</c:v>
                </c:pt>
                <c:pt idx="1">
                  <c:v>ni zadovoljno ni nezadovoljno</c:v>
                </c:pt>
                <c:pt idx="2">
                  <c:v>nezadovoljno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60.87</c:v>
                </c:pt>
                <c:pt idx="1">
                  <c:v>24.64</c:v>
                </c:pt>
                <c:pt idx="2">
                  <c:v>13.04</c:v>
                </c:pt>
              </c:numCache>
            </c:numRef>
          </c:val>
        </c:ser>
        <c:shape val="box"/>
        <c:axId val="86833408"/>
        <c:axId val="86904832"/>
        <c:axId val="0"/>
      </c:bar3DChart>
      <c:catAx>
        <c:axId val="86833408"/>
        <c:scaling>
          <c:orientation val="minMax"/>
        </c:scaling>
        <c:axPos val="b"/>
        <c:tickLblPos val="nextTo"/>
        <c:crossAx val="86904832"/>
        <c:crosses val="autoZero"/>
        <c:auto val="1"/>
        <c:lblAlgn val="ctr"/>
        <c:lblOffset val="100"/>
      </c:catAx>
      <c:valAx>
        <c:axId val="86904832"/>
        <c:scaling>
          <c:orientation val="minMax"/>
        </c:scaling>
        <c:axPos val="l"/>
        <c:majorGridlines/>
        <c:numFmt formatCode="General" sourceLinked="1"/>
        <c:tickLblPos val="nextTo"/>
        <c:crossAx val="8683340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8</cp:revision>
  <dcterms:created xsi:type="dcterms:W3CDTF">2014-03-31T23:42:00Z</dcterms:created>
  <dcterms:modified xsi:type="dcterms:W3CDTF">2014-04-08T20:44:00Z</dcterms:modified>
</cp:coreProperties>
</file>